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知网论文查重简易流程</w:t>
      </w:r>
    </w:p>
    <w:p>
      <w:pPr>
        <w:pStyle w:val="2"/>
        <w:numPr>
          <w:ilvl w:val="0"/>
          <w:numId w:val="1"/>
        </w:numPr>
        <w:ind w:firstLine="562" w:firstLineChars="200"/>
      </w:pPr>
      <w:r>
        <w:rPr>
          <w:rFonts w:hint="eastAsia"/>
        </w:rPr>
        <w:t>登陆网址</w:t>
      </w:r>
    </w:p>
    <w:p>
      <w:pPr>
        <w:jc w:val="left"/>
        <w:rPr>
          <w:rFonts w:hint="eastAsia"/>
        </w:rPr>
      </w:pPr>
      <w:r>
        <w:rPr>
          <w:rFonts w:hint="eastAsia"/>
          <w:sz w:val="24"/>
        </w:rPr>
        <w:t>输入网址：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"https://pmlc.cnki.net" </w:instrText>
      </w:r>
      <w:r>
        <w:rPr>
          <w:rFonts w:hint="eastAsia"/>
        </w:rPr>
        <w:fldChar w:fldCharType="separate"/>
      </w:r>
      <w:r>
        <w:rPr>
          <w:rStyle w:val="9"/>
          <w:rFonts w:hint="eastAsia"/>
        </w:rPr>
        <w:t>https://pmlc.cnki.net</w:t>
      </w:r>
      <w:r>
        <w:rPr>
          <w:rFonts w:hint="eastAsia"/>
        </w:rPr>
        <w:fldChar w:fldCharType="end"/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pStyle w:val="13"/>
        <w:ind w:left="420" w:firstLine="0" w:firstLineChars="0"/>
        <w:jc w:val="left"/>
        <w:rPr>
          <w:sz w:val="24"/>
        </w:rPr>
      </w:pPr>
      <w:r>
        <w:rPr>
          <w:rFonts w:hint="eastAsia"/>
          <w:b/>
          <w:color w:val="FF0000"/>
          <w:sz w:val="24"/>
        </w:rPr>
        <w:t>输入用户名和密码，登陆（验证码不分大小写）</w:t>
      </w:r>
    </w:p>
    <w:p>
      <w:pPr>
        <w:rPr>
          <w:sz w:val="24"/>
        </w:rPr>
      </w:pPr>
      <w:r>
        <w:rPr>
          <w:sz w:val="24"/>
        </w:rPr>
        <w:drawing>
          <wp:inline distT="0" distB="0" distL="114300" distR="114300">
            <wp:extent cx="5274310" cy="2728595"/>
            <wp:effectExtent l="0" t="0" r="25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学校选择：</w:t>
      </w:r>
    </w:p>
    <w:p>
      <w:pPr>
        <w:rPr>
          <w:b/>
          <w:sz w:val="24"/>
        </w:rPr>
      </w:pPr>
      <w:r>
        <w:rPr>
          <w:rFonts w:hint="eastAsia"/>
          <w:bCs/>
          <w:sz w:val="24"/>
        </w:rPr>
        <w:t>点击“</w:t>
      </w:r>
      <w:r>
        <w:rPr>
          <w:rFonts w:hint="eastAsia"/>
          <w:bCs/>
          <w:color w:val="FF0000"/>
          <w:sz w:val="24"/>
        </w:rPr>
        <w:t>学校</w:t>
      </w:r>
      <w:r>
        <w:rPr>
          <w:rFonts w:hint="eastAsia"/>
          <w:bCs/>
          <w:sz w:val="24"/>
        </w:rPr>
        <w:t>”后面的空白栏，出现如下界面，在空白处输入“</w:t>
      </w:r>
      <w:r>
        <w:rPr>
          <w:rFonts w:hint="eastAsia"/>
          <w:bCs/>
          <w:color w:val="FF0000"/>
          <w:sz w:val="24"/>
        </w:rPr>
        <w:t>杭州师范大学</w:t>
      </w:r>
      <w:r>
        <w:rPr>
          <w:rFonts w:hint="eastAsia"/>
          <w:bCs/>
          <w:sz w:val="24"/>
        </w:rPr>
        <w:t>”，点“</w:t>
      </w:r>
      <w:r>
        <w:rPr>
          <w:rFonts w:hint="eastAsia"/>
          <w:bCs/>
          <w:color w:val="FF0000"/>
          <w:sz w:val="24"/>
        </w:rPr>
        <w:t>检索</w:t>
      </w:r>
      <w:r>
        <w:rPr>
          <w:rFonts w:hint="eastAsia"/>
          <w:bCs/>
          <w:sz w:val="24"/>
        </w:rPr>
        <w:t>”，单击下面空白框里的“</w:t>
      </w:r>
      <w:r>
        <w:rPr>
          <w:rFonts w:hint="eastAsia"/>
          <w:bCs/>
          <w:color w:val="FF0000"/>
          <w:sz w:val="24"/>
        </w:rPr>
        <w:t>杭州师范大学</w:t>
      </w:r>
      <w:r>
        <w:rPr>
          <w:rFonts w:hint="eastAsia"/>
          <w:bCs/>
          <w:sz w:val="24"/>
        </w:rPr>
        <w:t>”学校即选择上。</w:t>
      </w:r>
      <w:r>
        <w:rPr>
          <w:rFonts w:hint="eastAsia"/>
          <w:b/>
          <w:sz w:val="24"/>
        </w:rPr>
        <w:t>输入账号密码登陆系统（账号密码是学院为学生设置好的），并选择“</w:t>
      </w:r>
      <w:r>
        <w:rPr>
          <w:rFonts w:hint="eastAsia"/>
          <w:b/>
          <w:color w:val="FF0000"/>
          <w:sz w:val="24"/>
        </w:rPr>
        <w:t>登陆身份</w:t>
      </w:r>
      <w:r>
        <w:rPr>
          <w:rFonts w:hint="eastAsia"/>
          <w:b/>
          <w:sz w:val="24"/>
        </w:rPr>
        <w:t>”为“</w:t>
      </w:r>
      <w:r>
        <w:rPr>
          <w:rFonts w:hint="eastAsia"/>
          <w:b/>
          <w:color w:val="FF0000"/>
          <w:sz w:val="24"/>
        </w:rPr>
        <w:t>学生</w:t>
      </w:r>
      <w:r>
        <w:rPr>
          <w:rFonts w:hint="eastAsia"/>
          <w:b/>
          <w:sz w:val="24"/>
        </w:rPr>
        <w:t>”</w:t>
      </w:r>
      <w:bookmarkStart w:id="0" w:name="_GoBack"/>
      <w:bookmarkEnd w:id="0"/>
    </w:p>
    <w:p>
      <w:pPr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5266690" cy="3681730"/>
            <wp:effectExtent l="0" t="0" r="10160" b="13970"/>
            <wp:docPr id="10" name="图片 10" descr="lADPD3IruIcSKUTNAlzNA2A_864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ADPD3IruIcSKUTNAlzNA2A_864_6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24"/>
        </w:rPr>
      </w:pPr>
      <w:r>
        <w:rPr>
          <w:rFonts w:hint="eastAsia"/>
          <w:sz w:val="24"/>
        </w:rPr>
        <w:t>手机号验证登陆：</w:t>
      </w:r>
    </w:p>
    <w:p>
      <w:pPr>
        <w:rPr>
          <w:sz w:val="24"/>
        </w:rPr>
      </w:pPr>
      <w:r>
        <w:rPr>
          <w:sz w:val="24"/>
        </w:rPr>
        <w:drawing>
          <wp:inline distT="0" distB="0" distL="0" distR="0">
            <wp:extent cx="3848100" cy="2387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3006" cy="239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color w:val="FF0000"/>
          <w:sz w:val="24"/>
        </w:rPr>
      </w:pPr>
      <w:r>
        <w:rPr>
          <w:rFonts w:hint="eastAsia"/>
          <w:sz w:val="24"/>
        </w:rPr>
        <w:t>学生输入手机号码，点击“</w:t>
      </w:r>
      <w:r>
        <w:rPr>
          <w:rFonts w:hint="eastAsia"/>
          <w:color w:val="FF0000"/>
          <w:sz w:val="24"/>
        </w:rPr>
        <w:t>获取验证码</w:t>
      </w:r>
      <w:r>
        <w:rPr>
          <w:rFonts w:hint="eastAsia"/>
          <w:sz w:val="24"/>
        </w:rPr>
        <w:t>”，手机收到验证码短信后，输入验证码信息，点击“</w:t>
      </w:r>
      <w:r>
        <w:rPr>
          <w:rFonts w:hint="eastAsia"/>
          <w:color w:val="FF0000"/>
          <w:sz w:val="24"/>
        </w:rPr>
        <w:t>确定</w:t>
      </w:r>
      <w:r>
        <w:rPr>
          <w:rFonts w:hint="eastAsia"/>
          <w:sz w:val="24"/>
        </w:rPr>
        <w:t>”</w:t>
      </w:r>
      <w:r>
        <w:rPr>
          <w:sz w:val="24"/>
        </w:rPr>
        <w:t xml:space="preserve"> </w:t>
      </w:r>
      <w:r>
        <w:rPr>
          <w:rFonts w:hint="eastAsia"/>
          <w:sz w:val="24"/>
        </w:rPr>
        <w:t>进入系统；</w:t>
      </w:r>
      <w:r>
        <w:rPr>
          <w:rFonts w:hint="eastAsia"/>
          <w:b/>
          <w:color w:val="FF0000"/>
          <w:sz w:val="24"/>
        </w:rPr>
        <w:t>备注：每个手机只可以绑定一个账户。</w:t>
      </w:r>
    </w:p>
    <w:p>
      <w:pPr>
        <w:pStyle w:val="2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上传论文</w:t>
      </w:r>
    </w:p>
    <w:p>
      <w:pPr>
        <w:rPr>
          <w:b/>
          <w:sz w:val="24"/>
        </w:rPr>
      </w:pPr>
    </w:p>
    <w:p>
      <w:pPr>
        <w:rPr>
          <w:sz w:val="24"/>
        </w:rPr>
      </w:pPr>
      <w:r>
        <w:rPr>
          <w:sz w:val="24"/>
        </w:rPr>
        <w:drawing>
          <wp:inline distT="0" distB="0" distL="114300" distR="114300">
            <wp:extent cx="5086350" cy="23717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1103" cy="237394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院系在给分配了检测权限之后，进入系统，点击提交新论文，进入截图界面。</w:t>
      </w:r>
      <w:r>
        <w:rPr>
          <w:rFonts w:hint="eastAsia"/>
          <w:color w:val="FF0000"/>
          <w:sz w:val="24"/>
        </w:rPr>
        <w:t>星号均为必填项</w:t>
      </w:r>
      <w:r>
        <w:rPr>
          <w:rFonts w:hint="eastAsia"/>
          <w:sz w:val="24"/>
        </w:rPr>
        <w:t>，此处填写指导教师，就可以将学生和指导教师的对应关系进行关联。（如果学校已提前匹配好指导教师，则此处会直接显示指导教师姓名）点击“浏览”提交论文。建议以.doc和.docx格式为宜。</w:t>
      </w:r>
    </w:p>
    <w:p>
      <w:pPr>
        <w:rPr>
          <w:sz w:val="24"/>
        </w:rPr>
      </w:pPr>
      <w:r>
        <w:rPr>
          <w:rFonts w:hint="eastAsia"/>
          <w:sz w:val="24"/>
        </w:rPr>
        <w:t>如需第二次上传，等教学秘书给予检测权限后，方可在此继续上传。</w:t>
      </w:r>
    </w:p>
    <w:p>
      <w:pPr>
        <w:pStyle w:val="2"/>
        <w:numPr>
          <w:ilvl w:val="0"/>
          <w:numId w:val="1"/>
        </w:numPr>
        <w:ind w:firstLine="482" w:firstLineChars="200"/>
        <w:rPr>
          <w:sz w:val="24"/>
        </w:rPr>
      </w:pPr>
      <w:r>
        <w:rPr>
          <w:rFonts w:hint="eastAsia"/>
          <w:sz w:val="24"/>
        </w:rPr>
        <w:t>查看</w:t>
      </w:r>
    </w:p>
    <w:p>
      <w:pPr>
        <w:rPr>
          <w:sz w:val="24"/>
        </w:rPr>
      </w:pPr>
      <w:r>
        <w:rPr>
          <w:sz w:val="24"/>
        </w:rPr>
        <w:drawing>
          <wp:inline distT="0" distB="0" distL="114300" distR="114300">
            <wp:extent cx="5274310" cy="2557780"/>
            <wp:effectExtent l="0" t="0" r="254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学生上传完论文之后，跳转到已提交论文界面下，会出现检测结果，以及点击查看报告单（根据学校的设置，可查看和不允许查看）</w:t>
      </w:r>
    </w:p>
    <w:p>
      <w:pPr>
        <w:rPr>
          <w:sz w:val="24"/>
        </w:rPr>
      </w:pPr>
      <w:r>
        <w:rPr>
          <w:rFonts w:hint="eastAsia"/>
          <w:sz w:val="24"/>
        </w:rPr>
        <w:t>指导教师填写错误可以在此修改</w:t>
      </w:r>
    </w:p>
    <w:p>
      <w:pPr>
        <w:rPr>
          <w:sz w:val="24"/>
        </w:rPr>
      </w:pPr>
      <w:r>
        <w:rPr>
          <w:rFonts w:hint="eastAsia"/>
          <w:sz w:val="24"/>
        </w:rPr>
        <w:t>可查看指导教师给予的指导意见</w:t>
      </w:r>
    </w:p>
    <w:p>
      <w:pPr>
        <w:pStyle w:val="2"/>
        <w:numPr>
          <w:ilvl w:val="0"/>
          <w:numId w:val="1"/>
        </w:numPr>
        <w:ind w:firstLine="482" w:firstLineChars="200"/>
        <w:rPr>
          <w:sz w:val="24"/>
        </w:rPr>
      </w:pPr>
      <w:r>
        <w:rPr>
          <w:rFonts w:hint="eastAsia"/>
          <w:sz w:val="24"/>
        </w:rPr>
        <w:t>论文列表</w:t>
      </w:r>
    </w:p>
    <w:p>
      <w:pPr>
        <w:rPr>
          <w:sz w:val="24"/>
        </w:rPr>
      </w:pPr>
      <w:r>
        <w:rPr>
          <w:sz w:val="24"/>
        </w:rPr>
        <w:drawing>
          <wp:inline distT="0" distB="0" distL="114300" distR="114300">
            <wp:extent cx="5269230" cy="2985770"/>
            <wp:effectExtent l="0" t="0" r="762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8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可在论文列表看自己多次提交的论文检测结果，也可进行两两对比。</w:t>
      </w:r>
    </w:p>
    <w:p>
      <w:pPr>
        <w:rPr>
          <w:sz w:val="24"/>
        </w:rPr>
      </w:pPr>
    </w:p>
    <w:p>
      <w:pPr>
        <w:pStyle w:val="2"/>
        <w:numPr>
          <w:ilvl w:val="0"/>
          <w:numId w:val="1"/>
        </w:numPr>
        <w:ind w:firstLine="482" w:firstLineChars="200"/>
        <w:rPr>
          <w:sz w:val="24"/>
        </w:rPr>
      </w:pPr>
      <w:r>
        <w:rPr>
          <w:rFonts w:hint="eastAsia"/>
          <w:sz w:val="24"/>
        </w:rPr>
        <w:t>查看、下载报告单</w:t>
      </w:r>
    </w:p>
    <w:p>
      <w:pPr>
        <w:rPr>
          <w:sz w:val="24"/>
        </w:rPr>
      </w:pPr>
      <w:r>
        <w:rPr>
          <w:rFonts w:hint="eastAsia"/>
          <w:sz w:val="24"/>
        </w:rPr>
        <w:t>方式一：</w:t>
      </w:r>
    </w:p>
    <w:p>
      <w:pPr>
        <w:rPr>
          <w:sz w:val="24"/>
        </w:rPr>
      </w:pPr>
      <w:r>
        <w:rPr>
          <w:sz w:val="24"/>
        </w:rPr>
        <w:drawing>
          <wp:inline distT="0" distB="0" distL="114300" distR="114300">
            <wp:extent cx="5268595" cy="2543175"/>
            <wp:effectExtent l="0" t="0" r="825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已提交论文——在检测结果后面有点击查看报告单，点击进去，出现如下界面</w:t>
      </w:r>
    </w:p>
    <w:p>
      <w:pPr>
        <w:rPr>
          <w:sz w:val="24"/>
        </w:rPr>
      </w:pPr>
      <w:r>
        <w:rPr>
          <w:sz w:val="24"/>
        </w:rPr>
        <w:drawing>
          <wp:inline distT="0" distB="0" distL="114300" distR="114300">
            <wp:extent cx="5267325" cy="2397760"/>
            <wp:effectExtent l="0" t="0" r="9525" b="25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右上角有“保存”按钮，点击保存。出现保存界面，显示“处理完”就可点击下载。</w:t>
      </w:r>
    </w:p>
    <w:p>
      <w:pPr>
        <w:rPr>
          <w:sz w:val="24"/>
        </w:rPr>
      </w:pPr>
      <w:r>
        <w:rPr>
          <w:rFonts w:hint="eastAsia"/>
          <w:b/>
          <w:color w:val="FF0000"/>
          <w:sz w:val="24"/>
        </w:rPr>
        <w:t>同样注意解压密码为用户名！</w:t>
      </w:r>
      <w:r>
        <w:rPr>
          <w:rFonts w:hint="eastAsia"/>
          <w:sz w:val="24"/>
        </w:rPr>
        <w:t>！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方式二：</w:t>
      </w:r>
    </w:p>
    <w:p>
      <w:pPr>
        <w:rPr>
          <w:sz w:val="24"/>
        </w:rPr>
      </w:pPr>
      <w:r>
        <w:rPr>
          <w:sz w:val="24"/>
        </w:rPr>
        <w:drawing>
          <wp:inline distT="0" distB="0" distL="114300" distR="114300">
            <wp:extent cx="5269230" cy="2985770"/>
            <wp:effectExtent l="0" t="0" r="762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8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4"/>
        </w:rPr>
      </w:pPr>
      <w:r>
        <w:rPr>
          <w:rFonts w:hint="eastAsia"/>
          <w:sz w:val="24"/>
        </w:rPr>
        <w:t>在论文列表——点击论文题目就可以出现报告单，保存方式跟上面一致。</w:t>
      </w:r>
    </w:p>
    <w:p>
      <w:pPr>
        <w:widowControl/>
        <w:jc w:val="center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如有教师或学生有论文想进行检测，可微信扫码自行进行咨询。</w:t>
      </w:r>
    </w:p>
    <w:p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drawing>
          <wp:inline distT="0" distB="0" distL="0" distR="0">
            <wp:extent cx="1436370" cy="1383030"/>
            <wp:effectExtent l="0" t="0" r="0" b="7620"/>
            <wp:docPr id="16" name="图片 16" descr="C:\Users\ldb\Documents\Tencent Files\424244487\Image\Group\}0O0)S{N(VL{2C38Q0CBA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ldb\Documents\Tencent Files\424244487\Image\Group\}0O0)S{N(VL{2C38Q0CBA8Q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042" cy="139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E031"/>
    <w:multiLevelType w:val="singleLevel"/>
    <w:tmpl w:val="58CFE03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52A0A"/>
    <w:rsid w:val="00013FC5"/>
    <w:rsid w:val="0007625E"/>
    <w:rsid w:val="000C45C8"/>
    <w:rsid w:val="000D119E"/>
    <w:rsid w:val="00146072"/>
    <w:rsid w:val="001E1954"/>
    <w:rsid w:val="00202D4F"/>
    <w:rsid w:val="002C3831"/>
    <w:rsid w:val="00353791"/>
    <w:rsid w:val="0039000B"/>
    <w:rsid w:val="003924EA"/>
    <w:rsid w:val="003E7716"/>
    <w:rsid w:val="00430EA6"/>
    <w:rsid w:val="00445877"/>
    <w:rsid w:val="004919A7"/>
    <w:rsid w:val="004E3B9D"/>
    <w:rsid w:val="005B10AE"/>
    <w:rsid w:val="006C0BBC"/>
    <w:rsid w:val="00700155"/>
    <w:rsid w:val="0086617E"/>
    <w:rsid w:val="008D1BBD"/>
    <w:rsid w:val="00927D0E"/>
    <w:rsid w:val="00A571CB"/>
    <w:rsid w:val="00B115E1"/>
    <w:rsid w:val="00B609EB"/>
    <w:rsid w:val="00C34AB8"/>
    <w:rsid w:val="00CB782C"/>
    <w:rsid w:val="00CD0C0B"/>
    <w:rsid w:val="00D531A7"/>
    <w:rsid w:val="00DC0110"/>
    <w:rsid w:val="00E0776C"/>
    <w:rsid w:val="00E4132A"/>
    <w:rsid w:val="00E82AAB"/>
    <w:rsid w:val="00EB1F92"/>
    <w:rsid w:val="00EC6D3F"/>
    <w:rsid w:val="00FA38A2"/>
    <w:rsid w:val="00FF0E0E"/>
    <w:rsid w:val="168F1CCF"/>
    <w:rsid w:val="226E1312"/>
    <w:rsid w:val="297517B0"/>
    <w:rsid w:val="35D52A0A"/>
    <w:rsid w:val="3D1105AA"/>
    <w:rsid w:val="447133B5"/>
    <w:rsid w:val="46D05F6B"/>
    <w:rsid w:val="62F0635E"/>
    <w:rsid w:val="70C2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D4B564-1C96-4C7C-8514-F6B9E4B71A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</Words>
  <Characters>779</Characters>
  <Lines>6</Lines>
  <Paragraphs>1</Paragraphs>
  <TotalTime>2</TotalTime>
  <ScaleCrop>false</ScaleCrop>
  <LinksUpToDate>false</LinksUpToDate>
  <CharactersWithSpaces>914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2017-03-20T13:53:00Z</dcterms:created>
  <dc:creator>abbyyg</dc:creator>
  <cp:lastModifiedBy>WPS_1602289933</cp:lastModifiedBy>
  <dcterms:modified xsi:type="dcterms:W3CDTF">2021-03-17T08:18:35Z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</Properties>
</file>